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Объект водоснабжения и водоотведения</w:t>
      </w:r>
    </w:p>
    <w:p>
      <w:r>
        <w:rPr>
          <w:b/>
        </w:rPr>
        <w:t xml:space="preserve">Основание: ПП РФ № 1467.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объект водоснабжения и водоотведения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объекта: водозабор / водоочистные / насосная станция / резервуар / водонапорная башня / КОС / КНС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населения, получающего услуги от объекта (тыс. человек) — влияет на категорию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Хранение хлора, гипохлорита и других реагентов (объём, тип)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Последствия прекращения работы: какой масштаб ЧС (муниципальный / региональный)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Балансовая стоимость объекта, млн ₽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Эксплуатирующая организация и дата уведомления о включении в перечень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